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938D0C" w14:textId="0C0CF4A3" w:rsidR="00BD5ADB" w:rsidRPr="00357213" w:rsidRDefault="00BD5ADB" w:rsidP="00BD5ADB">
      <w:pPr>
        <w:rPr>
          <w:b/>
          <w:bCs/>
          <w:sz w:val="40"/>
          <w:szCs w:val="40"/>
        </w:rPr>
      </w:pPr>
      <w:r w:rsidRPr="00357213">
        <w:rPr>
          <w:b/>
          <w:bCs/>
          <w:sz w:val="40"/>
          <w:szCs w:val="40"/>
        </w:rPr>
        <w:t>Lease</w:t>
      </w:r>
      <w:bookmarkStart w:id="0" w:name="_GoBack"/>
      <w:bookmarkEnd w:id="0"/>
      <w:r w:rsidRPr="00357213">
        <w:rPr>
          <w:b/>
          <w:bCs/>
          <w:sz w:val="40"/>
          <w:szCs w:val="40"/>
        </w:rPr>
        <w:t>-Up Process</w:t>
      </w:r>
      <w:r w:rsidR="00357213" w:rsidRPr="00357213">
        <w:rPr>
          <w:b/>
          <w:bCs/>
          <w:sz w:val="40"/>
          <w:szCs w:val="40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6"/>
        <w:gridCol w:w="3242"/>
        <w:gridCol w:w="4142"/>
      </w:tblGrid>
      <w:tr w:rsidR="00357213" w:rsidRPr="00357213" w14:paraId="22DF6715" w14:textId="77777777" w:rsidTr="00BD5AD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F97057C" w14:textId="77777777" w:rsidR="00BD5ADB" w:rsidRPr="00357213" w:rsidRDefault="00BD5ADB" w:rsidP="00BD5ADB">
            <w:pPr>
              <w:rPr>
                <w:b/>
                <w:bCs/>
                <w:u w:val="single"/>
              </w:rPr>
            </w:pPr>
            <w:r w:rsidRPr="00357213">
              <w:rPr>
                <w:b/>
                <w:bCs/>
                <w:u w:val="single"/>
              </w:rPr>
              <w:t>Task</w:t>
            </w:r>
          </w:p>
        </w:tc>
        <w:tc>
          <w:tcPr>
            <w:tcW w:w="0" w:type="auto"/>
            <w:vAlign w:val="center"/>
            <w:hideMark/>
          </w:tcPr>
          <w:p w14:paraId="5FBA571D" w14:textId="77777777" w:rsidR="00BD5ADB" w:rsidRPr="00357213" w:rsidRDefault="00BD5ADB" w:rsidP="00BD5ADB">
            <w:pPr>
              <w:rPr>
                <w:b/>
                <w:bCs/>
                <w:u w:val="single"/>
              </w:rPr>
            </w:pPr>
            <w:r w:rsidRPr="00357213">
              <w:rPr>
                <w:b/>
                <w:bCs/>
                <w:u w:val="single"/>
              </w:rPr>
              <w:t>VA Caseworker</w:t>
            </w:r>
          </w:p>
        </w:tc>
        <w:tc>
          <w:tcPr>
            <w:tcW w:w="0" w:type="auto"/>
            <w:vAlign w:val="center"/>
            <w:hideMark/>
          </w:tcPr>
          <w:p w14:paraId="0AACD120" w14:textId="2A2FEFBD" w:rsidR="00BD5ADB" w:rsidRPr="00357213" w:rsidRDefault="00357213" w:rsidP="00BD5ADB">
            <w:pPr>
              <w:rPr>
                <w:b/>
                <w:bCs/>
                <w:u w:val="single"/>
              </w:rPr>
            </w:pPr>
            <w:r w:rsidRPr="00357213">
              <w:rPr>
                <w:b/>
                <w:bCs/>
                <w:u w:val="single"/>
              </w:rPr>
              <w:t>CHA or CHA Intake Agent</w:t>
            </w:r>
          </w:p>
        </w:tc>
      </w:tr>
      <w:tr w:rsidR="00357213" w:rsidRPr="00BD5ADB" w14:paraId="41676805" w14:textId="77777777" w:rsidTr="00BD5AD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825BC8" w14:textId="77777777" w:rsidR="00BD5ADB" w:rsidRPr="00BD5ADB" w:rsidRDefault="00BD5ADB" w:rsidP="00BD5ADB">
            <w:r w:rsidRPr="00BD5ADB">
              <w:rPr>
                <w:b/>
                <w:bCs/>
              </w:rPr>
              <w:t>Eligibility Determination</w:t>
            </w:r>
          </w:p>
        </w:tc>
        <w:tc>
          <w:tcPr>
            <w:tcW w:w="0" w:type="auto"/>
            <w:vAlign w:val="center"/>
            <w:hideMark/>
          </w:tcPr>
          <w:p w14:paraId="7707E89C" w14:textId="77777777" w:rsidR="00BD5ADB" w:rsidRPr="00BD5ADB" w:rsidRDefault="00BD5ADB" w:rsidP="00BD5ADB">
            <w:r w:rsidRPr="00BD5ADB">
              <w:t>Confirms veteran eligibility (healthcare, homeless status, clinical appropriateness) and provides supportive services enrollment.</w:t>
            </w:r>
          </w:p>
        </w:tc>
        <w:tc>
          <w:tcPr>
            <w:tcW w:w="0" w:type="auto"/>
            <w:vAlign w:val="center"/>
            <w:hideMark/>
          </w:tcPr>
          <w:p w14:paraId="67BEC92C" w14:textId="05D56E06" w:rsidR="00BD5ADB" w:rsidRDefault="00357213" w:rsidP="00BD5ADB">
            <w:r>
              <w:t xml:space="preserve">Determines VASH program eligibility (income and background check per CHA Admin Plan).   </w:t>
            </w:r>
          </w:p>
          <w:p w14:paraId="67EAA010" w14:textId="77777777" w:rsidR="00357213" w:rsidRDefault="00357213" w:rsidP="00BD5ADB"/>
          <w:p w14:paraId="0573AAAD" w14:textId="57E42DD2" w:rsidR="00357213" w:rsidRPr="00BD5ADB" w:rsidRDefault="00357213" w:rsidP="00BD5ADB"/>
        </w:tc>
      </w:tr>
      <w:tr w:rsidR="00357213" w:rsidRPr="00BD5ADB" w14:paraId="51EAE981" w14:textId="77777777" w:rsidTr="00BD5AD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0E51FF" w14:textId="77777777" w:rsidR="00BD5ADB" w:rsidRPr="00BD5ADB" w:rsidRDefault="00BD5ADB" w:rsidP="00BD5ADB">
            <w:r w:rsidRPr="00BD5ADB">
              <w:rPr>
                <w:b/>
                <w:bCs/>
              </w:rPr>
              <w:t>Voucher Issuance</w:t>
            </w:r>
          </w:p>
        </w:tc>
        <w:tc>
          <w:tcPr>
            <w:tcW w:w="0" w:type="auto"/>
            <w:vAlign w:val="center"/>
            <w:hideMark/>
          </w:tcPr>
          <w:p w14:paraId="3B6C76BC" w14:textId="77777777" w:rsidR="00BD5ADB" w:rsidRPr="00BD5ADB" w:rsidRDefault="00BD5ADB" w:rsidP="00BD5ADB">
            <w:r w:rsidRPr="00BD5ADB">
              <w:t>Refers eligible veterans to the PHA and provides ongoing assistance during housing search.</w:t>
            </w:r>
          </w:p>
        </w:tc>
        <w:tc>
          <w:tcPr>
            <w:tcW w:w="0" w:type="auto"/>
            <w:vAlign w:val="center"/>
            <w:hideMark/>
          </w:tcPr>
          <w:p w14:paraId="61976183" w14:textId="77777777" w:rsidR="00BD5ADB" w:rsidRDefault="00BD5ADB" w:rsidP="00BD5ADB">
            <w:r w:rsidRPr="00BD5ADB">
              <w:t>Issues Housing Choice Voucher, explains program requirements, deadlines, and lease-up procedures.</w:t>
            </w:r>
          </w:p>
          <w:p w14:paraId="4B13CEA2" w14:textId="0AE07FE6" w:rsidR="00357213" w:rsidRPr="00BD5ADB" w:rsidRDefault="00357213" w:rsidP="00BD5ADB"/>
        </w:tc>
      </w:tr>
      <w:tr w:rsidR="00357213" w:rsidRPr="00BD5ADB" w14:paraId="4274DB42" w14:textId="77777777" w:rsidTr="00BD5AD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0CCCBC" w14:textId="77777777" w:rsidR="00BD5ADB" w:rsidRPr="00BD5ADB" w:rsidRDefault="00BD5ADB" w:rsidP="00BD5ADB">
            <w:r w:rsidRPr="00BD5ADB">
              <w:rPr>
                <w:b/>
                <w:bCs/>
              </w:rPr>
              <w:t>Housing Search</w:t>
            </w:r>
          </w:p>
        </w:tc>
        <w:tc>
          <w:tcPr>
            <w:tcW w:w="0" w:type="auto"/>
            <w:vAlign w:val="center"/>
            <w:hideMark/>
          </w:tcPr>
          <w:p w14:paraId="52171E17" w14:textId="77777777" w:rsidR="00BD5ADB" w:rsidRPr="00BD5ADB" w:rsidRDefault="00BD5ADB" w:rsidP="00BD5ADB">
            <w:r w:rsidRPr="00BD5ADB">
              <w:t>Assists participant with housing search by offering counseling, referrals, advocacy, and landlord engagement.</w:t>
            </w:r>
          </w:p>
        </w:tc>
        <w:tc>
          <w:tcPr>
            <w:tcW w:w="0" w:type="auto"/>
            <w:vAlign w:val="center"/>
            <w:hideMark/>
          </w:tcPr>
          <w:p w14:paraId="5BEA315E" w14:textId="0E0C3838" w:rsidR="00BD5ADB" w:rsidRPr="00BD5ADB" w:rsidRDefault="00357213" w:rsidP="00BD5ADB">
            <w:r>
              <w:t>Provides list of CHA-known landlord contacts, confirms rent reasonableness and affordability, and sends emails of CHA-known vacant units.</w:t>
            </w:r>
          </w:p>
        </w:tc>
      </w:tr>
      <w:tr w:rsidR="00357213" w:rsidRPr="00BD5ADB" w14:paraId="25A04553" w14:textId="77777777" w:rsidTr="00BD5AD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0C5356" w14:textId="77777777" w:rsidR="00BD5ADB" w:rsidRPr="00BD5ADB" w:rsidRDefault="00BD5ADB" w:rsidP="00BD5ADB">
            <w:r w:rsidRPr="00BD5ADB">
              <w:rPr>
                <w:b/>
                <w:bCs/>
              </w:rPr>
              <w:t>Inspection &amp; Unit Approval</w:t>
            </w:r>
          </w:p>
        </w:tc>
        <w:tc>
          <w:tcPr>
            <w:tcW w:w="0" w:type="auto"/>
            <w:vAlign w:val="center"/>
            <w:hideMark/>
          </w:tcPr>
          <w:p w14:paraId="67AA49DD" w14:textId="054BFBE1" w:rsidR="00BD5ADB" w:rsidRDefault="00BD5ADB" w:rsidP="00BD5ADB">
            <w:r w:rsidRPr="00BD5ADB">
              <w:t>May coordinate with landlord and participant, advocating for timely inspections and supporting resolution of minor issues.</w:t>
            </w:r>
          </w:p>
          <w:p w14:paraId="4F0AAC6C" w14:textId="77777777" w:rsidR="00357213" w:rsidRDefault="00357213" w:rsidP="00BD5ADB"/>
          <w:p w14:paraId="2BE5D459" w14:textId="3192CC09" w:rsidR="00357213" w:rsidRPr="00BD5ADB" w:rsidRDefault="00357213" w:rsidP="00BD5ADB"/>
        </w:tc>
        <w:tc>
          <w:tcPr>
            <w:tcW w:w="0" w:type="auto"/>
            <w:vAlign w:val="center"/>
            <w:hideMark/>
          </w:tcPr>
          <w:p w14:paraId="2B102676" w14:textId="1F9BA843" w:rsidR="00BD5ADB" w:rsidRPr="00BD5ADB" w:rsidRDefault="00357213" w:rsidP="00BD5ADB">
            <w:r>
              <w:t>Schedules and c</w:t>
            </w:r>
            <w:r w:rsidR="00BD5ADB" w:rsidRPr="00BD5ADB">
              <w:t xml:space="preserve">onducts Housing Quality Standards (HQS) inspection, </w:t>
            </w:r>
            <w:r>
              <w:t>confirms selected</w:t>
            </w:r>
            <w:r w:rsidR="00BD5ADB" w:rsidRPr="00BD5ADB">
              <w:t xml:space="preserve"> units meet</w:t>
            </w:r>
            <w:r>
              <w:t>s</w:t>
            </w:r>
            <w:r w:rsidR="00BD5ADB" w:rsidRPr="00BD5ADB">
              <w:t xml:space="preserve"> standards, establishes rent reasonableness.</w:t>
            </w:r>
            <w:r>
              <w:t xml:space="preserve">  Communicates inspection process updates (scheduled, completed, outcome). </w:t>
            </w:r>
          </w:p>
        </w:tc>
      </w:tr>
      <w:tr w:rsidR="00357213" w:rsidRPr="00BD5ADB" w14:paraId="027ABDDD" w14:textId="77777777" w:rsidTr="00BD5AD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904D6F" w14:textId="77777777" w:rsidR="00BD5ADB" w:rsidRPr="00BD5ADB" w:rsidRDefault="00BD5ADB" w:rsidP="00BD5ADB">
            <w:r w:rsidRPr="00BD5ADB">
              <w:rPr>
                <w:b/>
                <w:bCs/>
              </w:rPr>
              <w:t>Lease Execution &amp; Move-In</w:t>
            </w:r>
          </w:p>
        </w:tc>
        <w:tc>
          <w:tcPr>
            <w:tcW w:w="0" w:type="auto"/>
            <w:vAlign w:val="center"/>
            <w:hideMark/>
          </w:tcPr>
          <w:p w14:paraId="5D61A035" w14:textId="77777777" w:rsidR="00BD5ADB" w:rsidRDefault="00BD5ADB" w:rsidP="00BD5ADB">
            <w:r w:rsidRPr="00BD5ADB">
              <w:t xml:space="preserve">Supports participant during lease execution and </w:t>
            </w:r>
            <w:r w:rsidR="00357213">
              <w:t xml:space="preserve">may </w:t>
            </w:r>
            <w:r w:rsidRPr="00BD5ADB">
              <w:t>coordinate provision of essential household items and move-in assistance</w:t>
            </w:r>
            <w:r w:rsidR="00357213">
              <w:t xml:space="preserve"> resources.</w:t>
            </w:r>
          </w:p>
          <w:p w14:paraId="0AF74B5B" w14:textId="743982F3" w:rsidR="00357213" w:rsidRPr="00BD5ADB" w:rsidRDefault="00357213" w:rsidP="00BD5ADB"/>
        </w:tc>
        <w:tc>
          <w:tcPr>
            <w:tcW w:w="0" w:type="auto"/>
            <w:vAlign w:val="center"/>
            <w:hideMark/>
          </w:tcPr>
          <w:p w14:paraId="4C12A618" w14:textId="13BDD24D" w:rsidR="00BD5ADB" w:rsidRPr="00BD5ADB" w:rsidRDefault="00BD5ADB" w:rsidP="00BD5ADB">
            <w:r w:rsidRPr="00BD5ADB">
              <w:t>Reviews and approves lease, executes Housing Assistance Payments (HAP) contract with landlord.</w:t>
            </w:r>
            <w:r w:rsidR="00357213">
              <w:t xml:space="preserve">  If the participant executes the CHA Authorization to Release Information to the VA, release documents requested to the VA.  </w:t>
            </w:r>
          </w:p>
        </w:tc>
      </w:tr>
    </w:tbl>
    <w:p w14:paraId="39D28447" w14:textId="0284FE1C" w:rsidR="00BD5ADB" w:rsidRPr="00BD5ADB" w:rsidRDefault="00BD5ADB" w:rsidP="00BD5ADB"/>
    <w:p w14:paraId="087B4EE0" w14:textId="7D8D8FFC" w:rsidR="00935391" w:rsidRPr="005302B9" w:rsidRDefault="00BD5ADB" w:rsidP="00BD5ADB">
      <w:pPr>
        <w:rPr>
          <w:b/>
          <w:bCs/>
          <w:sz w:val="40"/>
          <w:szCs w:val="40"/>
        </w:rPr>
      </w:pPr>
      <w:r w:rsidRPr="005302B9">
        <w:rPr>
          <w:b/>
          <w:bCs/>
          <w:sz w:val="40"/>
          <w:szCs w:val="40"/>
        </w:rPr>
        <w:lastRenderedPageBreak/>
        <w:t>Compliance &amp; Ongoing Support</w:t>
      </w:r>
      <w:r w:rsidR="005302B9" w:rsidRPr="005302B9">
        <w:rPr>
          <w:b/>
          <w:bCs/>
          <w:sz w:val="40"/>
          <w:szCs w:val="40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7"/>
        <w:gridCol w:w="3170"/>
        <w:gridCol w:w="4203"/>
      </w:tblGrid>
      <w:tr w:rsidR="00935391" w:rsidRPr="00BD5ADB" w14:paraId="4A282EE6" w14:textId="77777777" w:rsidTr="00BD5AD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C248619" w14:textId="77777777" w:rsidR="00BD5ADB" w:rsidRPr="005302B9" w:rsidRDefault="00BD5ADB" w:rsidP="00BD5ADB">
            <w:pPr>
              <w:rPr>
                <w:b/>
                <w:bCs/>
                <w:u w:val="single"/>
              </w:rPr>
            </w:pPr>
            <w:r w:rsidRPr="005302B9">
              <w:rPr>
                <w:b/>
                <w:bCs/>
                <w:u w:val="single"/>
              </w:rPr>
              <w:t>Task</w:t>
            </w:r>
          </w:p>
        </w:tc>
        <w:tc>
          <w:tcPr>
            <w:tcW w:w="0" w:type="auto"/>
            <w:vAlign w:val="center"/>
            <w:hideMark/>
          </w:tcPr>
          <w:p w14:paraId="60393B75" w14:textId="77777777" w:rsidR="00BD5ADB" w:rsidRPr="005302B9" w:rsidRDefault="00BD5ADB" w:rsidP="00BD5ADB">
            <w:pPr>
              <w:rPr>
                <w:b/>
                <w:bCs/>
                <w:u w:val="single"/>
              </w:rPr>
            </w:pPr>
            <w:r w:rsidRPr="005302B9">
              <w:rPr>
                <w:b/>
                <w:bCs/>
                <w:u w:val="single"/>
              </w:rPr>
              <w:t>VA Caseworker</w:t>
            </w:r>
          </w:p>
        </w:tc>
        <w:tc>
          <w:tcPr>
            <w:tcW w:w="0" w:type="auto"/>
            <w:vAlign w:val="center"/>
            <w:hideMark/>
          </w:tcPr>
          <w:p w14:paraId="0EAAD132" w14:textId="108759CE" w:rsidR="00BD5ADB" w:rsidRPr="00BD5ADB" w:rsidRDefault="005302B9" w:rsidP="00BD5ADB">
            <w:pPr>
              <w:rPr>
                <w:b/>
                <w:bCs/>
              </w:rPr>
            </w:pPr>
            <w:r w:rsidRPr="00357213">
              <w:rPr>
                <w:b/>
                <w:bCs/>
                <w:u w:val="single"/>
              </w:rPr>
              <w:t>CHA or CHA Intake Agent</w:t>
            </w:r>
          </w:p>
        </w:tc>
      </w:tr>
      <w:tr w:rsidR="00935391" w:rsidRPr="00BD5ADB" w14:paraId="743FF4A9" w14:textId="77777777" w:rsidTr="00BD5AD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1A19F7" w14:textId="77777777" w:rsidR="00935391" w:rsidRDefault="00BD5ADB" w:rsidP="00BD5ADB">
            <w:pPr>
              <w:rPr>
                <w:b/>
                <w:bCs/>
              </w:rPr>
            </w:pPr>
            <w:r w:rsidRPr="00BD5ADB">
              <w:rPr>
                <w:b/>
                <w:bCs/>
              </w:rPr>
              <w:t xml:space="preserve">Supportive </w:t>
            </w:r>
          </w:p>
          <w:p w14:paraId="029C0F31" w14:textId="3AD9A19F" w:rsidR="00BD5ADB" w:rsidRPr="00BD5ADB" w:rsidRDefault="00BD5ADB" w:rsidP="00BD5ADB">
            <w:r w:rsidRPr="00BD5ADB">
              <w:rPr>
                <w:b/>
                <w:bCs/>
              </w:rPr>
              <w:t>Services</w:t>
            </w:r>
          </w:p>
        </w:tc>
        <w:tc>
          <w:tcPr>
            <w:tcW w:w="0" w:type="auto"/>
            <w:vAlign w:val="center"/>
            <w:hideMark/>
          </w:tcPr>
          <w:p w14:paraId="37FF71EA" w14:textId="77777777" w:rsidR="00BD5ADB" w:rsidRPr="00BD5ADB" w:rsidRDefault="00BD5ADB" w:rsidP="00BD5ADB">
            <w:r w:rsidRPr="00BD5ADB">
              <w:t>Provides clinical support, case management, counseling, crisis intervention, healthcare linkage, and community resource connections.</w:t>
            </w:r>
          </w:p>
        </w:tc>
        <w:tc>
          <w:tcPr>
            <w:tcW w:w="0" w:type="auto"/>
            <w:vAlign w:val="center"/>
            <w:hideMark/>
          </w:tcPr>
          <w:p w14:paraId="388BE6BD" w14:textId="67419D54" w:rsidR="00BD5ADB" w:rsidRDefault="00BD5ADB" w:rsidP="00BD5ADB">
            <w:r w:rsidRPr="00BD5ADB">
              <w:t>Refers participant back to VA caseworker for non-housing needs; does not provide direct clinical services.</w:t>
            </w:r>
          </w:p>
          <w:p w14:paraId="016F41E4" w14:textId="77777777" w:rsidR="00935391" w:rsidRDefault="00935391" w:rsidP="00BD5ADB"/>
          <w:p w14:paraId="5DC1F0CE" w14:textId="1FB331D8" w:rsidR="00935391" w:rsidRPr="00BD5ADB" w:rsidRDefault="00935391" w:rsidP="00BD5ADB"/>
        </w:tc>
      </w:tr>
      <w:tr w:rsidR="00935391" w:rsidRPr="00BD5ADB" w14:paraId="64524DC1" w14:textId="77777777" w:rsidTr="00BD5AD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99F1D4" w14:textId="77777777" w:rsidR="00BD5ADB" w:rsidRPr="00BD5ADB" w:rsidRDefault="00BD5ADB" w:rsidP="00BD5ADB">
            <w:r w:rsidRPr="00BD5ADB">
              <w:rPr>
                <w:b/>
                <w:bCs/>
              </w:rPr>
              <w:t>Annual Recertification</w:t>
            </w:r>
          </w:p>
        </w:tc>
        <w:tc>
          <w:tcPr>
            <w:tcW w:w="0" w:type="auto"/>
            <w:vAlign w:val="center"/>
            <w:hideMark/>
          </w:tcPr>
          <w:p w14:paraId="30DF245D" w14:textId="77777777" w:rsidR="00BD5ADB" w:rsidRPr="00BD5ADB" w:rsidRDefault="00BD5ADB" w:rsidP="00BD5ADB">
            <w:r w:rsidRPr="00BD5ADB">
              <w:t>Assists participant in gathering documentation, encourages timely communication with the PHA.</w:t>
            </w:r>
          </w:p>
        </w:tc>
        <w:tc>
          <w:tcPr>
            <w:tcW w:w="0" w:type="auto"/>
            <w:vAlign w:val="center"/>
            <w:hideMark/>
          </w:tcPr>
          <w:p w14:paraId="5C684782" w14:textId="243F7C34" w:rsidR="00BD5ADB" w:rsidRDefault="00BD5ADB" w:rsidP="00BD5ADB">
            <w:r w:rsidRPr="00BD5ADB">
              <w:t>Conducts annual income recertification, adjusts participant rent portion accordingly.</w:t>
            </w:r>
          </w:p>
          <w:p w14:paraId="328CAF75" w14:textId="77777777" w:rsidR="00935391" w:rsidRDefault="00935391" w:rsidP="00BD5ADB"/>
          <w:p w14:paraId="7B82CF29" w14:textId="6A1FAE22" w:rsidR="00935391" w:rsidRPr="00BD5ADB" w:rsidRDefault="00935391" w:rsidP="00BD5ADB"/>
        </w:tc>
      </w:tr>
      <w:tr w:rsidR="00935391" w:rsidRPr="00BD5ADB" w14:paraId="01388165" w14:textId="77777777" w:rsidTr="00BD5AD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7DDAAD" w14:textId="77777777" w:rsidR="00BD5ADB" w:rsidRPr="00BD5ADB" w:rsidRDefault="00BD5ADB" w:rsidP="00BD5ADB">
            <w:r w:rsidRPr="00BD5ADB">
              <w:rPr>
                <w:b/>
                <w:bCs/>
              </w:rPr>
              <w:t>Inspections &amp; Compliance</w:t>
            </w:r>
          </w:p>
        </w:tc>
        <w:tc>
          <w:tcPr>
            <w:tcW w:w="0" w:type="auto"/>
            <w:vAlign w:val="center"/>
            <w:hideMark/>
          </w:tcPr>
          <w:p w14:paraId="2B3AF877" w14:textId="270FAED7" w:rsidR="00BD5ADB" w:rsidRPr="00BD5ADB" w:rsidRDefault="00935391" w:rsidP="00BD5ADB">
            <w:r>
              <w:t>Provides resources to the</w:t>
            </w:r>
            <w:r w:rsidR="00BD5ADB" w:rsidRPr="00BD5ADB">
              <w:t xml:space="preserve"> participant </w:t>
            </w:r>
            <w:r>
              <w:t xml:space="preserve">to help </w:t>
            </w:r>
            <w:r w:rsidR="00BD5ADB" w:rsidRPr="00BD5ADB">
              <w:t>maintain the unit, address</w:t>
            </w:r>
            <w:r>
              <w:t xml:space="preserve">, </w:t>
            </w:r>
            <w:r w:rsidR="00BD5ADB" w:rsidRPr="00BD5ADB">
              <w:t>housekeeping and lease compliance through supportive services.</w:t>
            </w:r>
          </w:p>
        </w:tc>
        <w:tc>
          <w:tcPr>
            <w:tcW w:w="0" w:type="auto"/>
            <w:vAlign w:val="center"/>
            <w:hideMark/>
          </w:tcPr>
          <w:p w14:paraId="49D02EA5" w14:textId="5A33F54E" w:rsidR="00BD5ADB" w:rsidRDefault="00BD5ADB" w:rsidP="00BD5ADB">
            <w:r w:rsidRPr="00BD5ADB">
              <w:t>Conducts annual/biennial HQS inspections and addresses landlord-related compliance issues.</w:t>
            </w:r>
          </w:p>
          <w:p w14:paraId="165692B5" w14:textId="1246F1FD" w:rsidR="00935391" w:rsidRDefault="00935391" w:rsidP="00BD5ADB"/>
          <w:p w14:paraId="46BE2E48" w14:textId="77777777" w:rsidR="00935391" w:rsidRDefault="00935391" w:rsidP="00BD5ADB"/>
          <w:p w14:paraId="105AAA00" w14:textId="529A4150" w:rsidR="00935391" w:rsidRPr="00BD5ADB" w:rsidRDefault="00935391" w:rsidP="00BD5ADB"/>
        </w:tc>
      </w:tr>
      <w:tr w:rsidR="00935391" w:rsidRPr="00BD5ADB" w14:paraId="5290BD21" w14:textId="77777777" w:rsidTr="00BD5AD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A9DE0F" w14:textId="77777777" w:rsidR="00935391" w:rsidRDefault="00BD5ADB" w:rsidP="00BD5ADB">
            <w:pPr>
              <w:rPr>
                <w:b/>
                <w:bCs/>
              </w:rPr>
            </w:pPr>
            <w:r w:rsidRPr="00BD5ADB">
              <w:rPr>
                <w:b/>
                <w:bCs/>
              </w:rPr>
              <w:t xml:space="preserve">Lease </w:t>
            </w:r>
          </w:p>
          <w:p w14:paraId="6FC8A66D" w14:textId="66630453" w:rsidR="00BD5ADB" w:rsidRPr="00BD5ADB" w:rsidRDefault="00BD5ADB" w:rsidP="00BD5ADB">
            <w:r w:rsidRPr="00BD5ADB">
              <w:rPr>
                <w:b/>
                <w:bCs/>
              </w:rPr>
              <w:t>Enforcement</w:t>
            </w:r>
          </w:p>
        </w:tc>
        <w:tc>
          <w:tcPr>
            <w:tcW w:w="0" w:type="auto"/>
            <w:vAlign w:val="center"/>
            <w:hideMark/>
          </w:tcPr>
          <w:p w14:paraId="671D36C3" w14:textId="090262EA" w:rsidR="00BD5ADB" w:rsidRDefault="00BD5ADB" w:rsidP="00BD5ADB">
            <w:r w:rsidRPr="00BD5ADB">
              <w:t>Offers interventions and advocacy to prevent eviction, resolves disputes with landlords, supports lease adherence.</w:t>
            </w:r>
          </w:p>
          <w:p w14:paraId="3B996DEB" w14:textId="77777777" w:rsidR="00935391" w:rsidRDefault="00935391" w:rsidP="00BD5ADB"/>
          <w:p w14:paraId="7FA5A047" w14:textId="66CAC847" w:rsidR="00935391" w:rsidRPr="00BD5ADB" w:rsidRDefault="00935391" w:rsidP="00BD5ADB"/>
        </w:tc>
        <w:tc>
          <w:tcPr>
            <w:tcW w:w="0" w:type="auto"/>
            <w:vAlign w:val="center"/>
            <w:hideMark/>
          </w:tcPr>
          <w:p w14:paraId="1002B2C4" w14:textId="24C9475E" w:rsidR="00BD5ADB" w:rsidRPr="00BD5ADB" w:rsidRDefault="00BD5ADB" w:rsidP="00BD5ADB">
            <w:r w:rsidRPr="00BD5ADB">
              <w:t>Monitors lease and voucher compliance, notifies participant of obligations, initiates administrative action for repeated non-compliance or serious violations.</w:t>
            </w:r>
            <w:r w:rsidR="00935391">
              <w:t xml:space="preserve"> To resolve Voucher-related issues, work with tenant, VA, and landlord.</w:t>
            </w:r>
          </w:p>
        </w:tc>
      </w:tr>
      <w:tr w:rsidR="00935391" w:rsidRPr="00BD5ADB" w14:paraId="28ED66F8" w14:textId="77777777" w:rsidTr="00BD5AD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9A48A7" w14:textId="77777777" w:rsidR="00935391" w:rsidRDefault="00BD5ADB" w:rsidP="00BD5ADB">
            <w:pPr>
              <w:rPr>
                <w:b/>
                <w:bCs/>
              </w:rPr>
            </w:pPr>
            <w:r w:rsidRPr="00BD5ADB">
              <w:rPr>
                <w:b/>
                <w:bCs/>
              </w:rPr>
              <w:t xml:space="preserve">Landlord </w:t>
            </w:r>
          </w:p>
          <w:p w14:paraId="15B4701C" w14:textId="32B8D398" w:rsidR="00BD5ADB" w:rsidRPr="00BD5ADB" w:rsidRDefault="00BD5ADB" w:rsidP="00BD5ADB">
            <w:r w:rsidRPr="00BD5ADB">
              <w:rPr>
                <w:b/>
                <w:bCs/>
              </w:rPr>
              <w:t>Relations</w:t>
            </w:r>
          </w:p>
        </w:tc>
        <w:tc>
          <w:tcPr>
            <w:tcW w:w="0" w:type="auto"/>
            <w:vAlign w:val="center"/>
            <w:hideMark/>
          </w:tcPr>
          <w:p w14:paraId="463DA2D6" w14:textId="77777777" w:rsidR="00BD5ADB" w:rsidRPr="00BD5ADB" w:rsidRDefault="00BD5ADB" w:rsidP="00BD5ADB">
            <w:r w:rsidRPr="00BD5ADB">
              <w:t>Supports ongoing positive landlord relationship by mediating concerns and facilitating communication between landlord and participant.</w:t>
            </w:r>
          </w:p>
        </w:tc>
        <w:tc>
          <w:tcPr>
            <w:tcW w:w="0" w:type="auto"/>
            <w:vAlign w:val="center"/>
            <w:hideMark/>
          </w:tcPr>
          <w:p w14:paraId="032E7DB7" w14:textId="77777777" w:rsidR="00BD5ADB" w:rsidRDefault="00BD5ADB" w:rsidP="00BD5ADB">
            <w:r w:rsidRPr="00BD5ADB">
              <w:t>Manages Housing Assistance Payments, ensures landlord compliance with contractual obligations.</w:t>
            </w:r>
          </w:p>
          <w:p w14:paraId="459CBC37" w14:textId="29997DCB" w:rsidR="00935391" w:rsidRPr="00BD5ADB" w:rsidRDefault="00935391" w:rsidP="00BD5ADB"/>
        </w:tc>
      </w:tr>
      <w:tr w:rsidR="00935391" w:rsidRPr="00BD5ADB" w14:paraId="36EFA0A4" w14:textId="77777777" w:rsidTr="00BD5AD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8E82EE" w14:textId="77777777" w:rsidR="00935391" w:rsidRDefault="00BD5ADB" w:rsidP="00BD5ADB">
            <w:pPr>
              <w:rPr>
                <w:b/>
                <w:bCs/>
              </w:rPr>
            </w:pPr>
            <w:r w:rsidRPr="00BD5ADB">
              <w:rPr>
                <w:b/>
                <w:bCs/>
              </w:rPr>
              <w:t>Termination/</w:t>
            </w:r>
          </w:p>
          <w:p w14:paraId="3693FB88" w14:textId="74E23815" w:rsidR="00BD5ADB" w:rsidRPr="00BD5ADB" w:rsidRDefault="00BD5ADB" w:rsidP="00BD5ADB">
            <w:r w:rsidRPr="00BD5ADB">
              <w:rPr>
                <w:b/>
                <w:bCs/>
              </w:rPr>
              <w:t>Eviction</w:t>
            </w:r>
          </w:p>
        </w:tc>
        <w:tc>
          <w:tcPr>
            <w:tcW w:w="0" w:type="auto"/>
            <w:vAlign w:val="center"/>
            <w:hideMark/>
          </w:tcPr>
          <w:p w14:paraId="6625562A" w14:textId="77777777" w:rsidR="00BD5ADB" w:rsidRPr="00BD5ADB" w:rsidRDefault="00BD5ADB" w:rsidP="00BD5ADB">
            <w:r w:rsidRPr="00BD5ADB">
              <w:t>Provides intervention and intensive case management to prevent eviction or assist with rehousing if necessary.</w:t>
            </w:r>
          </w:p>
        </w:tc>
        <w:tc>
          <w:tcPr>
            <w:tcW w:w="0" w:type="auto"/>
            <w:vAlign w:val="center"/>
            <w:hideMark/>
          </w:tcPr>
          <w:p w14:paraId="41676738" w14:textId="77777777" w:rsidR="00BD5ADB" w:rsidRPr="00BD5ADB" w:rsidRDefault="00BD5ADB" w:rsidP="00BD5ADB">
            <w:r w:rsidRPr="00BD5ADB">
              <w:t>Processes formal termination of housing assistance per regulations and administrative plan if participant is non-compliant or evicted.</w:t>
            </w:r>
          </w:p>
        </w:tc>
      </w:tr>
    </w:tbl>
    <w:p w14:paraId="6C2E7278" w14:textId="77777777" w:rsidR="00943FAD" w:rsidRDefault="00943FAD"/>
    <w:sectPr w:rsidR="00943FAD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ADDEB5" w14:textId="77777777" w:rsidR="00704E62" w:rsidRDefault="00704E62" w:rsidP="00704E62">
      <w:pPr>
        <w:spacing w:after="0" w:line="240" w:lineRule="auto"/>
      </w:pPr>
      <w:r>
        <w:separator/>
      </w:r>
    </w:p>
  </w:endnote>
  <w:endnote w:type="continuationSeparator" w:id="0">
    <w:p w14:paraId="0DDE5262" w14:textId="77777777" w:rsidR="00704E62" w:rsidRDefault="00704E62" w:rsidP="00704E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C7BDB6" w14:textId="0CBE12FB" w:rsidR="00704E62" w:rsidRPr="00E5403E" w:rsidRDefault="00E5403E" w:rsidP="00E5403E">
    <w:pPr>
      <w:pStyle w:val="Footer"/>
      <w:jc w:val="center"/>
      <w:rPr>
        <w:i/>
        <w:sz w:val="22"/>
        <w:szCs w:val="22"/>
      </w:rPr>
    </w:pPr>
    <w:r w:rsidRPr="00E5403E">
      <w:rPr>
        <w:i/>
        <w:sz w:val="22"/>
        <w:szCs w:val="22"/>
      </w:rPr>
      <w:t>Adopted by VA and CHA VASH team 11-07-2025</w:t>
    </w:r>
  </w:p>
  <w:p w14:paraId="4D9AA69B" w14:textId="77777777" w:rsidR="00704E62" w:rsidRDefault="00704E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BC615F" w14:textId="77777777" w:rsidR="00704E62" w:rsidRDefault="00704E62" w:rsidP="00704E62">
      <w:pPr>
        <w:spacing w:after="0" w:line="240" w:lineRule="auto"/>
      </w:pPr>
      <w:r>
        <w:separator/>
      </w:r>
    </w:p>
  </w:footnote>
  <w:footnote w:type="continuationSeparator" w:id="0">
    <w:p w14:paraId="5FD6AF90" w14:textId="77777777" w:rsidR="00704E62" w:rsidRDefault="00704E62" w:rsidP="00704E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ADB"/>
    <w:rsid w:val="0001245D"/>
    <w:rsid w:val="00357213"/>
    <w:rsid w:val="00440E80"/>
    <w:rsid w:val="005302B9"/>
    <w:rsid w:val="005F3A73"/>
    <w:rsid w:val="00704E62"/>
    <w:rsid w:val="00737D87"/>
    <w:rsid w:val="00935391"/>
    <w:rsid w:val="00943FAD"/>
    <w:rsid w:val="00A14114"/>
    <w:rsid w:val="00BD5ADB"/>
    <w:rsid w:val="00E5403E"/>
    <w:rsid w:val="00F63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A21435"/>
  <w15:chartTrackingRefBased/>
  <w15:docId w15:val="{166B12CC-344C-44F9-8B32-C8BBC381D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ajorBidi"/>
        <w:sz w:val="28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5ADB"/>
    <w:pPr>
      <w:keepNext/>
      <w:keepLines/>
      <w:spacing w:before="360" w:after="80"/>
      <w:outlineLvl w:val="0"/>
    </w:pPr>
    <w:rPr>
      <w:rFonts w:asciiTheme="majorHAnsi" w:eastAsiaTheme="majorEastAsia" w:hAnsiTheme="majorHAns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5ADB"/>
    <w:pPr>
      <w:keepNext/>
      <w:keepLines/>
      <w:spacing w:before="160" w:after="80"/>
      <w:outlineLvl w:val="1"/>
    </w:pPr>
    <w:rPr>
      <w:rFonts w:asciiTheme="majorHAnsi" w:eastAsiaTheme="majorEastAsia" w:hAnsiTheme="majorHAns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5ADB"/>
    <w:pPr>
      <w:keepNext/>
      <w:keepLines/>
      <w:spacing w:before="160" w:after="80"/>
      <w:outlineLvl w:val="2"/>
    </w:pPr>
    <w:rPr>
      <w:rFonts w:asciiTheme="minorHAnsi" w:eastAsiaTheme="majorEastAsia" w:hAnsiTheme="minorHAns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5ADB"/>
    <w:pPr>
      <w:keepNext/>
      <w:keepLines/>
      <w:spacing w:before="80" w:after="40"/>
      <w:outlineLvl w:val="3"/>
    </w:pPr>
    <w:rPr>
      <w:rFonts w:asciiTheme="minorHAnsi" w:eastAsiaTheme="majorEastAsia" w:hAnsiTheme="minorHAns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5ADB"/>
    <w:pPr>
      <w:keepNext/>
      <w:keepLines/>
      <w:spacing w:before="80" w:after="40"/>
      <w:outlineLvl w:val="4"/>
    </w:pPr>
    <w:rPr>
      <w:rFonts w:asciiTheme="minorHAnsi" w:eastAsiaTheme="majorEastAsia" w:hAnsiTheme="minorHAns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5ADB"/>
    <w:pPr>
      <w:keepNext/>
      <w:keepLines/>
      <w:spacing w:before="40" w:after="0"/>
      <w:outlineLvl w:val="5"/>
    </w:pPr>
    <w:rPr>
      <w:rFonts w:asciiTheme="minorHAnsi" w:eastAsiaTheme="majorEastAsia" w:hAnsiTheme="minorHAns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5ADB"/>
    <w:pPr>
      <w:keepNext/>
      <w:keepLines/>
      <w:spacing w:before="40" w:after="0"/>
      <w:outlineLvl w:val="6"/>
    </w:pPr>
    <w:rPr>
      <w:rFonts w:asciiTheme="minorHAnsi" w:eastAsiaTheme="majorEastAsia" w:hAnsiTheme="minorHAns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5ADB"/>
    <w:pPr>
      <w:keepNext/>
      <w:keepLines/>
      <w:spacing w:after="0"/>
      <w:outlineLvl w:val="7"/>
    </w:pPr>
    <w:rPr>
      <w:rFonts w:asciiTheme="minorHAnsi" w:eastAsiaTheme="majorEastAsia" w:hAnsiTheme="minorHAns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5ADB"/>
    <w:pPr>
      <w:keepNext/>
      <w:keepLines/>
      <w:spacing w:after="0"/>
      <w:outlineLvl w:val="8"/>
    </w:pPr>
    <w:rPr>
      <w:rFonts w:asciiTheme="minorHAnsi" w:eastAsiaTheme="majorEastAsia" w:hAnsiTheme="minorHAns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5ADB"/>
    <w:rPr>
      <w:rFonts w:asciiTheme="majorHAnsi" w:eastAsiaTheme="majorEastAsia" w:hAnsiTheme="majorHAns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5ADB"/>
    <w:rPr>
      <w:rFonts w:asciiTheme="majorHAnsi" w:eastAsiaTheme="majorEastAsia" w:hAnsiTheme="majorHAns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5ADB"/>
    <w:rPr>
      <w:rFonts w:asciiTheme="minorHAnsi" w:eastAsiaTheme="majorEastAsia" w:hAnsiTheme="minorHAnsi"/>
      <w:color w:val="0F476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5ADB"/>
    <w:rPr>
      <w:rFonts w:asciiTheme="minorHAnsi" w:eastAsiaTheme="majorEastAsia" w:hAnsiTheme="minorHAns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5ADB"/>
    <w:rPr>
      <w:rFonts w:asciiTheme="minorHAnsi" w:eastAsiaTheme="majorEastAsia" w:hAnsiTheme="minorHAns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5ADB"/>
    <w:rPr>
      <w:rFonts w:asciiTheme="minorHAnsi" w:eastAsiaTheme="majorEastAsia" w:hAnsiTheme="minorHAns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5ADB"/>
    <w:rPr>
      <w:rFonts w:asciiTheme="minorHAnsi" w:eastAsiaTheme="majorEastAsia" w:hAnsiTheme="minorHAns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5ADB"/>
    <w:rPr>
      <w:rFonts w:asciiTheme="minorHAnsi" w:eastAsiaTheme="majorEastAsia" w:hAnsiTheme="minorHAns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5ADB"/>
    <w:rPr>
      <w:rFonts w:asciiTheme="minorHAnsi" w:eastAsiaTheme="majorEastAsia" w:hAnsiTheme="minorHAns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5ADB"/>
    <w:pPr>
      <w:spacing w:after="80" w:line="240" w:lineRule="auto"/>
      <w:contextualSpacing/>
    </w:pPr>
    <w:rPr>
      <w:rFonts w:asciiTheme="majorHAnsi" w:eastAsiaTheme="majorEastAsia" w:hAnsiTheme="majorHAns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5ADB"/>
    <w:rPr>
      <w:rFonts w:asciiTheme="majorHAnsi" w:eastAsiaTheme="majorEastAsia" w:hAnsiTheme="majorHAns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5ADB"/>
    <w:pPr>
      <w:numPr>
        <w:ilvl w:val="1"/>
      </w:numPr>
    </w:pPr>
    <w:rPr>
      <w:rFonts w:asciiTheme="minorHAnsi" w:eastAsiaTheme="majorEastAsia" w:hAnsiTheme="minorHAns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5ADB"/>
    <w:rPr>
      <w:rFonts w:asciiTheme="minorHAnsi" w:eastAsiaTheme="majorEastAsia" w:hAnsiTheme="minorHAns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5A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5A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5A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5A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5A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5A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5AD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04E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4E62"/>
  </w:style>
  <w:style w:type="paragraph" w:styleId="Footer">
    <w:name w:val="footer"/>
    <w:basedOn w:val="Normal"/>
    <w:link w:val="FooterChar"/>
    <w:uiPriority w:val="99"/>
    <w:unhideWhenUsed/>
    <w:rsid w:val="00704E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4E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61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91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15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03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84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57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31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2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481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Housing and Urban Development</Company>
  <LinksUpToDate>false</LinksUpToDate>
  <CharactersWithSpaces>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Urban, Zachary D</dc:creator>
  <cp:keywords/>
  <dc:description/>
  <cp:lastModifiedBy>Amanda Allard</cp:lastModifiedBy>
  <cp:revision>5</cp:revision>
  <dcterms:created xsi:type="dcterms:W3CDTF">2025-11-12T19:16:00Z</dcterms:created>
  <dcterms:modified xsi:type="dcterms:W3CDTF">2025-11-12T19:28:00Z</dcterms:modified>
</cp:coreProperties>
</file>